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9F23" w14:textId="77777777" w:rsidR="006F4D97" w:rsidRDefault="006F4D97" w:rsidP="006F4D97">
      <w:pPr>
        <w:spacing w:before="100" w:beforeAutospacing="1" w:after="120" w:line="240" w:lineRule="auto"/>
        <w:ind w:left="720"/>
        <w:rPr>
          <w:rFonts w:ascii="Arial" w:hAnsi="Arial" w:cs="Arial"/>
          <w:color w:val="4D4D4F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Table showing types of services that may or may not constitute a BAS service"/>
      </w:tblPr>
      <w:tblGrid>
        <w:gridCol w:w="10482"/>
        <w:gridCol w:w="1843"/>
        <w:gridCol w:w="1842"/>
      </w:tblGrid>
      <w:tr w:rsidR="006F4D97" w:rsidRPr="00444753" w14:paraId="2928ADC2" w14:textId="77777777" w:rsidTr="00A209DC">
        <w:trPr>
          <w:tblHeader/>
        </w:trPr>
        <w:tc>
          <w:tcPr>
            <w:tcW w:w="10482" w:type="dxa"/>
            <w:vMerge w:val="restart"/>
            <w:tcBorders>
              <w:top w:val="single" w:sz="6" w:space="0" w:color="5F6062"/>
              <w:left w:val="single" w:sz="6" w:space="0" w:color="5F6062"/>
              <w:right w:val="single" w:sz="6" w:space="0" w:color="5F6062"/>
            </w:tcBorders>
            <w:shd w:val="clear" w:color="auto" w:fill="2F5496" w:themeFill="accent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9EE7016" w14:textId="540DD7C9" w:rsidR="006F4D97" w:rsidRPr="006F4D97" w:rsidRDefault="006F4D97" w:rsidP="006F4D97">
            <w:pPr>
              <w:spacing w:before="100" w:beforeAutospacing="1" w:after="12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Which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services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below </w:t>
            </w: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can be offered by a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Business Activity Statement (</w:t>
            </w: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BAS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agent providing payroll services?</w:t>
            </w:r>
          </w:p>
        </w:tc>
        <w:tc>
          <w:tcPr>
            <w:tcW w:w="3685" w:type="dxa"/>
            <w:gridSpan w:val="2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shd w:val="clear" w:color="auto" w:fill="2F5496" w:themeFill="accent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316FCD6D" w14:textId="406A6D0E" w:rsidR="006F4D97" w:rsidRPr="006F4D97" w:rsidRDefault="006F4D97" w:rsidP="006F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Tick Yes or No</w:t>
            </w:r>
          </w:p>
        </w:tc>
      </w:tr>
      <w:tr w:rsidR="006F4D97" w:rsidRPr="00444753" w14:paraId="4F47C56E" w14:textId="77777777" w:rsidTr="00A209DC">
        <w:trPr>
          <w:tblHeader/>
        </w:trPr>
        <w:tc>
          <w:tcPr>
            <w:tcW w:w="10482" w:type="dxa"/>
            <w:vMerge/>
            <w:tcBorders>
              <w:left w:val="single" w:sz="6" w:space="0" w:color="5F6062"/>
              <w:bottom w:val="single" w:sz="6" w:space="0" w:color="5F6062"/>
              <w:right w:val="single" w:sz="6" w:space="0" w:color="5F6062"/>
            </w:tcBorders>
            <w:shd w:val="clear" w:color="auto" w:fill="2F5496" w:themeFill="accent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E89EBF6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shd w:val="clear" w:color="auto" w:fill="2F5496" w:themeFill="accent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C2E2C17" w14:textId="316491E8" w:rsidR="006F4D97" w:rsidRPr="00444753" w:rsidRDefault="006F4D97" w:rsidP="006F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shd w:val="clear" w:color="auto" w:fill="2F5496" w:themeFill="accent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5E1B3C" w14:textId="1D30F12C" w:rsidR="006F4D97" w:rsidRPr="00444753" w:rsidRDefault="006F4D97" w:rsidP="006F4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F4D9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6F4D97" w:rsidRPr="00444753" w14:paraId="3FF8B36E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6DF7BD" w14:textId="1B25BB1A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pply to the Registrar for an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Australian Business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Number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(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ABN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)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on behalf of a client.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C5BAEC" w14:textId="26B67139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9324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70475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24A0981F" w14:textId="2AD81280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078407D9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3085874" w14:textId="3D50AC2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I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nstall computer accounting software without determining default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Goods and Service Tax (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GST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)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and other codes tailored to the client.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43710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2363DA6" w14:textId="38A962C7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4159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65E7C52C" w14:textId="198B90C1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2835DFAF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F2DC1A8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onfir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m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figures to be included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i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n a client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'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s activity statement.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23963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496B4237" w14:textId="18F9FBBA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87512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2D81F4F" w14:textId="666AF56B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731DB7A6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5D30914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omplet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activity statements on behalf of an entity or instruct the entity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on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which figures to include.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29090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C100932" w14:textId="7B97D4CF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73060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E3DC791" w14:textId="56CF33FC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49732917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1B616D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g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eneral training in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computerised accounting payroll software.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99514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37571D4" w14:textId="7DE3517F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569108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B9CCD0B" w14:textId="0D5A443E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1EF9A93F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FC2834" w14:textId="77777777" w:rsidR="006F4D97" w:rsidRPr="00444753" w:rsidRDefault="006F4D97" w:rsidP="001C27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repar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bank reconciliations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for a client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55319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219F2C5B" w14:textId="527098F7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2999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2757440" w14:textId="57F1BC49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227B558E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ADEA23D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Enter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data without involvement in or calculation of figures to be included on a client's activity statement.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4915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A02DB85" w14:textId="66FC82E4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35164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5AAC63BE" w14:textId="5ED646BC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4DD9A48F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08DE0C8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rovid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advice about the withholding tax obligations for the employees of a client.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4467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DF53B57" w14:textId="0EBE2123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37878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13F234A0" w14:textId="7039CB65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35BDFBC8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18AD1E6" w14:textId="1259F9C5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s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ervices declared to be a BAS service by a legislative instrument issued by the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Tax Practitioners Board (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TPB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)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201552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5A33720" w14:textId="3FFBB80E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96647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5186A6E8" w14:textId="2CB7B6E6" w:rsidR="006F4D97" w:rsidRPr="00444753" w:rsidRDefault="006F4D97" w:rsidP="006F4D9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4F126120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470F7E7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lastRenderedPageBreak/>
              <w:t>P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repar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and provid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 a client with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 income statement that may include reportable fringe benefits amounts and the reportable employer superannuation contributions.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1349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CE3475E" w14:textId="3D20739F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358A96" w14:textId="2CC3C1A4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76522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355507AB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F24F127" w14:textId="462434F6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egiste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or provid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advice on registration for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pay as you go (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PAYG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)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withholding.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22553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1744278F" w14:textId="032868AD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CAE49E1" w14:textId="379B5757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9181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</w:p>
        </w:tc>
      </w:tr>
      <w:tr w:rsidR="006F4D97" w:rsidRPr="00444753" w14:paraId="3C59DF19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13F72D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s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ervices under the </w:t>
            </w:r>
            <w:r w:rsidRPr="00444753">
              <w:rPr>
                <w:rFonts w:ascii="Arial" w:eastAsia="Times New Roman" w:hAnsi="Arial" w:cs="Arial"/>
                <w:i/>
                <w:iCs/>
                <w:color w:val="4D4D4F"/>
                <w:sz w:val="24"/>
                <w:szCs w:val="24"/>
              </w:rPr>
              <w:t>Superannuation Guarantee (Administration) Act 1992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to the extent that they relate to a payroll function or payments to contractors.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209813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AFE3AD7" w14:textId="7122B740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623F424" w14:textId="675F624C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13551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18D835BD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ED089A3" w14:textId="69BB28CC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a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dvi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about a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superannuation guarantee charge (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SGC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)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liability, including calculating the liability and preparing the SGC statement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43690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13D1DF7" w14:textId="7B6ED261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0B347DA" w14:textId="274403AB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58279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727AA1B7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99253D6" w14:textId="661850F8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a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dvi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about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offsetting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late payments of superannuation contributions against the SGC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38162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DA71577" w14:textId="0E8DAAF2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DEF5AC9" w14:textId="3FB099DD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38541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</w:p>
        </w:tc>
      </w:tr>
      <w:tr w:rsidR="006F4D97" w:rsidRPr="00444753" w14:paraId="3211AD4B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9ADB5F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omple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te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the late payment offset election section of an SGC statement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79751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0DEA8F4" w14:textId="61C8755A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9043928" w14:textId="3FEDFB25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5469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</w:p>
        </w:tc>
      </w:tr>
      <w:tr w:rsidR="006F4D97" w:rsidRPr="00444753" w14:paraId="5ACAA4B1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B31DBB4" w14:textId="7128186A" w:rsidR="006F4D97" w:rsidRPr="00444753" w:rsidRDefault="006F4D97" w:rsidP="006F4D97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epresent a client in their dealings with the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Australian Taxation Office (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ATO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)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relating to the SGC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,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lodg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SGC statements, be an authorised contact relating to SG and SGC, and access these accounts in the ATO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'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s online services for BAS agents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94725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2C670D7" w14:textId="7F631D73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E3CA09" w14:textId="1F8854C9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719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75E54B4E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1D09F2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Be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an authorised contact with the ATO for payment arrangements relating to SGC account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5023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1413551F" w14:textId="379556A0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B52F53" w14:textId="7AF66B07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40443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580894B5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886EC77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Be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 authorised contact with the ATO for requesting penalty remissions relating to SGC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41050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6B2A7841" w14:textId="5A2C0DC2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7544C86" w14:textId="33A8ECFD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1432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7F9B5276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3DD066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lastRenderedPageBreak/>
              <w:t>Be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 authorised contact for any audit or review activity undertaken by the ATO relating to SGC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2098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4A70C16E" w14:textId="629E702A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2B973C6" w14:textId="4E9E2374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229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116E025C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4B7696A" w14:textId="5FB15307" w:rsidR="006F4D97" w:rsidRPr="00444753" w:rsidRDefault="00FA2316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a</w:t>
            </w:r>
            <w:r w:rsidR="006F4D97"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dvi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="006F4D97"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about claiming an allowable tax deduction for superannuation contribution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s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B53B465" w14:textId="0B49EAF0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2552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39827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253C329A" w14:textId="04943191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74B6FD43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45D30AE" w14:textId="7E8C2E8A" w:rsidR="006F4D97" w:rsidRPr="00444753" w:rsidRDefault="00FA2316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a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dvi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e </w:t>
            </w:r>
            <w:r w:rsidR="006F4D97"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about superannuation contribution caps and the effect of exceeding those caps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2151F6" w14:textId="631CB07C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9810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87131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752208A" w14:textId="02EE6F46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2C7197A8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1ED6D9" w14:textId="4E2A9210" w:rsidR="006F4D97" w:rsidRPr="00444753" w:rsidRDefault="00FA2316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advice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</w:t>
            </w:r>
            <w:r w:rsidR="006F4D97"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on salary sacrificing arrangements and salary packaging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924FEB3" w14:textId="5A9F15F9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11714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8002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B4BF7E2" w14:textId="1832F3F9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2FFAA777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CD3D9EE" w14:textId="7814184A" w:rsidR="006F4D97" w:rsidRPr="00444753" w:rsidRDefault="00FA2316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Provide advice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</w:t>
            </w:r>
            <w:r w:rsidR="006F4D97"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about fringe benefits tax laws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5C4765" w14:textId="62007020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1088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96327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1D2BAF8E" w14:textId="721416EB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2C07EBDA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DF741A5" w14:textId="09E2DFD3" w:rsidR="006F4D97" w:rsidRPr="00444753" w:rsidRDefault="00FA2316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Provide advice </w:t>
            </w:r>
            <w:r w:rsidR="006F4D97"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about preparing and/or lodging income tax returns</w:t>
            </w:r>
            <w:r w:rsidR="006F4D97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19E205F" w14:textId="067621B3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186231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49495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A4CB6A7" w14:textId="3E75347A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190FEA07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6EFD31A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etermi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ne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and report the superannuation guarantee shortfall and associated administrative fees.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2958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9825C2A" w14:textId="64D5766D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16C1A7" w14:textId="59FF69A9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5038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</w:p>
        </w:tc>
      </w:tr>
      <w:tr w:rsidR="006F4D97" w:rsidRPr="00444753" w14:paraId="6B46D7E4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291D787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eal with superannuation payments made through a clearing house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5211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0060660" w14:textId="66C23C79" w:rsidR="006F4D97" w:rsidRPr="00444753" w:rsidRDefault="00681D49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22F4A6D" w14:textId="66FFD687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5049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1CA0681F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7D53857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omplet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and lodg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the Taxable payments annual report to the ATO on behalf of a client.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97783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69DF2244" w14:textId="79BEA586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032818A" w14:textId="5DF7D7CC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9989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11EA427C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C730B2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Send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 TFN declaration to the Commissioner on behalf of a client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189407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04A408CA" w14:textId="60E09219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3F1E4FB" w14:textId="108C41A1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33026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04EB1089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3054598" w14:textId="7CD52BD8" w:rsidR="006F4D97" w:rsidRPr="00444753" w:rsidRDefault="006F4D97" w:rsidP="001C27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lastRenderedPageBreak/>
              <w:t>T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ransmit data to the </w:t>
            </w:r>
            <w:r w:rsidR="00FA2316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ommissioner through single touch payroll (STP) enabled software, where the data transmission does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</w:t>
            </w:r>
            <w:r w:rsidRPr="00444753">
              <w:rPr>
                <w:rFonts w:ascii="Arial" w:eastAsia="Times New Roman" w:hAnsi="Arial" w:cs="Arial"/>
                <w:b/>
                <w:bCs/>
                <w:color w:val="4D4D4F"/>
                <w:sz w:val="24"/>
                <w:szCs w:val="24"/>
              </w:rPr>
              <w:t>not</w:t>
            </w:r>
            <w:r>
              <w:rPr>
                <w:rFonts w:ascii="Arial" w:eastAsia="Times New Roman" w:hAnsi="Arial" w:cs="Arial"/>
                <w:b/>
                <w:bCs/>
                <w:color w:val="4D4D4F"/>
                <w:sz w:val="24"/>
                <w:szCs w:val="24"/>
              </w:rPr>
              <w:t xml:space="preserve">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require the interpretation or application of a BAS provision.</w:t>
            </w:r>
          </w:p>
        </w:tc>
        <w:tc>
          <w:tcPr>
            <w:tcW w:w="1843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4BBB0C" w14:textId="35AE2B0A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1691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71603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6053AB9A" w14:textId="5DEA5E3B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F4D97" w:rsidRPr="00444753" w14:paraId="5768AE3F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8E6063A" w14:textId="26ECF5F5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P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rovid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 payroll service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that involves interpreting and applying a BAS provision, including reporting employee payroll information through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STP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enabled software.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32212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B89AA39" w14:textId="1AD6AD34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542DAA" w14:textId="28EB88E1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24238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</w:p>
        </w:tc>
      </w:tr>
      <w:tr w:rsidR="006F4D97" w:rsidRPr="00444753" w14:paraId="63AD48E0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F17868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U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ndertak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 payroll compliance review, providing an assessment and/or opinion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on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whether the client is compliant with one or more BAS provisions.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97898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7BA51F98" w14:textId="14142196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8BA070E" w14:textId="443DEE73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4298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65EED6EF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9D19A56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etermi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ne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eligibility, provid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</w:t>
            </w:r>
            <w:proofErr w:type="gramStart"/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advice</w:t>
            </w:r>
            <w:proofErr w:type="gramEnd"/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and assist eligible clients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in electing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to participate in the JobKeeper Payments scheme.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81537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491A8A5E" w14:textId="3E28474A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A3B09AC" w14:textId="02966BFE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13037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D97" w:rsidRPr="00444753" w14:paraId="19E0659D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B88BA8" w14:textId="18FFE792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etermin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eligibility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and advis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 and assis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t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eligible clients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with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their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c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ash</w:t>
            </w:r>
            <w:r w:rsidR="00FA2316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flow boost entitlements.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-181001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40D27709" w14:textId="77EAB625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52D674A" w14:textId="1D69E55F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6871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</w:p>
        </w:tc>
      </w:tr>
      <w:tr w:rsidR="006F4D97" w:rsidRPr="00444753" w14:paraId="1BF5AC71" w14:textId="77777777" w:rsidTr="006F4D97">
        <w:tc>
          <w:tcPr>
            <w:tcW w:w="1048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0A708CF" w14:textId="77777777" w:rsidR="006F4D97" w:rsidRPr="00444753" w:rsidRDefault="006F4D97" w:rsidP="001C270E">
            <w:pPr>
              <w:spacing w:after="0" w:line="240" w:lineRule="auto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D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etermin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eligibility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and advis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e and assis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t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eligible clients </w:t>
            </w:r>
            <w:r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in claiming</w:t>
            </w: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 xml:space="preserve"> the JobMaker Hiring Credit.</w:t>
            </w:r>
          </w:p>
        </w:tc>
        <w:sdt>
          <w:sdtPr>
            <w:rPr>
              <w:rFonts w:ascii="Arial" w:eastAsia="Times New Roman" w:hAnsi="Arial" w:cs="Arial"/>
              <w:color w:val="4D4D4F"/>
              <w:sz w:val="24"/>
              <w:szCs w:val="24"/>
            </w:rPr>
            <w:id w:val="8623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6" w:space="0" w:color="5F6062"/>
                  <w:left w:val="single" w:sz="6" w:space="0" w:color="5F6062"/>
                  <w:bottom w:val="single" w:sz="6" w:space="0" w:color="5F6062"/>
                  <w:right w:val="single" w:sz="6" w:space="0" w:color="5F6062"/>
                </w:tcBorders>
                <w:tcMar>
                  <w:top w:w="180" w:type="dxa"/>
                  <w:left w:w="180" w:type="dxa"/>
                  <w:bottom w:w="180" w:type="dxa"/>
                  <w:right w:w="180" w:type="dxa"/>
                </w:tcMar>
                <w:vAlign w:val="center"/>
                <w:hideMark/>
              </w:tcPr>
              <w:p w14:paraId="3309BFB2" w14:textId="4FA0BB74" w:rsidR="006F4D97" w:rsidRPr="00444753" w:rsidRDefault="006F4D97" w:rsidP="001C27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D4D4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6" w:space="0" w:color="5F6062"/>
              <w:left w:val="single" w:sz="6" w:space="0" w:color="5F6062"/>
              <w:bottom w:val="single" w:sz="6" w:space="0" w:color="5F6062"/>
              <w:right w:val="single" w:sz="6" w:space="0" w:color="5F6062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80BE8FB" w14:textId="34D17267" w:rsidR="006F4D97" w:rsidRPr="00444753" w:rsidRDefault="006F4D97" w:rsidP="001C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F"/>
                <w:sz w:val="24"/>
                <w:szCs w:val="24"/>
              </w:rPr>
            </w:pPr>
            <w:r w:rsidRPr="00444753">
              <w:rPr>
                <w:rFonts w:ascii="Arial" w:eastAsia="Times New Roman" w:hAnsi="Arial" w:cs="Arial"/>
                <w:color w:val="4D4D4F"/>
                <w:sz w:val="24"/>
                <w:szCs w:val="24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4D4D4F"/>
                  <w:sz w:val="24"/>
                  <w:szCs w:val="24"/>
                </w:rPr>
                <w:id w:val="-1637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AE53AED" w14:textId="77777777" w:rsidR="006F4D97" w:rsidRPr="00AC5E64" w:rsidRDefault="006F4D97" w:rsidP="006F4D97">
      <w:pPr>
        <w:rPr>
          <w:rFonts w:ascii="Arial" w:hAnsi="Arial" w:cs="Arial"/>
          <w:color w:val="4D4D4F"/>
        </w:rPr>
      </w:pPr>
    </w:p>
    <w:p w14:paraId="32BADF27" w14:textId="77777777" w:rsidR="00290C43" w:rsidRDefault="00681D49"/>
    <w:sectPr w:rsidR="00290C43" w:rsidSect="001251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4j0NSuEVV4qDkBSo/O0P92r9Y6/R0kXtZesdSDLuSv4Sbr6hJPo86qhPM57Sr943pe9fF2lH8iFtH/QHYl0pQ==" w:salt="48JPAkrG42QczTVd9Htl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xtDA3MzG0MLM0NjFT0lEKTi0uzszPAykwrAUA5NYKWiwAAAA="/>
  </w:docVars>
  <w:rsids>
    <w:rsidRoot w:val="006F4D97"/>
    <w:rsid w:val="00564161"/>
    <w:rsid w:val="00681D49"/>
    <w:rsid w:val="006F4D97"/>
    <w:rsid w:val="008A29B4"/>
    <w:rsid w:val="00C900EF"/>
    <w:rsid w:val="00F465C2"/>
    <w:rsid w:val="00F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C03F"/>
  <w15:chartTrackingRefBased/>
  <w15:docId w15:val="{2B6B22E9-5B19-4680-8D76-67D5DFC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97"/>
    <w:rPr>
      <w:rFonts w:ascii="Calibri" w:eastAsia="Calibri" w:hAnsi="Calibri" w:cs="Calibri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3</cp:revision>
  <dcterms:created xsi:type="dcterms:W3CDTF">2022-06-23T22:59:00Z</dcterms:created>
  <dcterms:modified xsi:type="dcterms:W3CDTF">2022-06-24T01:46:00Z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2022-06-23T22:59:23Z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0ebd4db4-621f-4c97-a9fc-8918e86c9a3e</vt:lpwstr>
  </property>
  <property fmtid="{D5CDD505-2E9C-101B-9397-08002B2CF9AE}" pid="8" name="MSIP_Label_c96ed6d7-747c-41fd-b042-ff14484edc24_ContentBits">
    <vt:lpwstr>0</vt:lpwstr>
  </property>
</Properties>
</file>